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A0A980">
      <w:pPr>
        <w:pStyle w:val="8"/>
        <w:spacing w:line="360" w:lineRule="auto"/>
        <w:ind w:firstLine="641" w:firstLineChars="200"/>
        <w:jc w:val="center"/>
        <w:rPr>
          <w:rFonts w:ascii="仿宋_GB2312" w:hAnsi="仿宋" w:eastAsia="仿宋_GB2312"/>
          <w:b/>
          <w:color w:val="auto"/>
          <w:sz w:val="32"/>
          <w:szCs w:val="32"/>
        </w:rPr>
      </w:pPr>
      <w:bookmarkStart w:id="4" w:name="_GoBack"/>
      <w:bookmarkEnd w:id="4"/>
      <w:r>
        <w:rPr>
          <w:rFonts w:hint="eastAsia" w:ascii="仿宋_GB2312" w:hAnsi="仿宋" w:eastAsia="仿宋_GB2312"/>
          <w:b/>
          <w:color w:val="auto"/>
          <w:sz w:val="32"/>
          <w:szCs w:val="32"/>
        </w:rPr>
        <w:t>天津市第一医院医疗设备项目（项目编号：</w:t>
      </w:r>
      <w:r>
        <w:rPr>
          <w:rFonts w:ascii="仿宋_GB2312" w:hAnsi="仿宋" w:eastAsia="仿宋_GB2312"/>
          <w:b/>
          <w:color w:val="auto"/>
          <w:sz w:val="32"/>
          <w:szCs w:val="32"/>
        </w:rPr>
        <w:t>TGPC-2025-A-0573</w:t>
      </w:r>
      <w:r>
        <w:rPr>
          <w:rFonts w:hint="eastAsia" w:ascii="仿宋_GB2312" w:hAnsi="仿宋" w:eastAsia="仿宋_GB2312"/>
          <w:b/>
          <w:color w:val="auto"/>
          <w:sz w:val="32"/>
          <w:szCs w:val="32"/>
        </w:rPr>
        <w:t>）公开招标公告</w:t>
      </w:r>
    </w:p>
    <w:p w14:paraId="27C0373B">
      <w:pPr>
        <w:pStyle w:val="8"/>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受天津市第一医院委托</w:t>
      </w:r>
      <w:r>
        <w:rPr>
          <w:rFonts w:ascii="Times New Roman" w:hAnsi="Times New Roman" w:eastAsia="宋体" w:cs="Times New Roman"/>
          <w:color w:val="auto"/>
          <w:szCs w:val="32"/>
        </w:rPr>
        <w:t>，天津市政府采购中心将以公开招标方式</w:t>
      </w:r>
      <w:r>
        <w:rPr>
          <w:rFonts w:hint="eastAsia" w:ascii="Times New Roman" w:hAnsi="Times New Roman" w:eastAsia="宋体" w:cs="Times New Roman"/>
          <w:color w:val="auto"/>
          <w:szCs w:val="32"/>
        </w:rPr>
        <w:t>，对天津市第一医院医疗设备项目实施政府采购。</w:t>
      </w:r>
      <w:r>
        <w:rPr>
          <w:rFonts w:ascii="Times New Roman" w:hAnsi="Times New Roman" w:eastAsia="宋体" w:cs="Times New Roman"/>
          <w:color w:val="auto"/>
          <w:szCs w:val="32"/>
        </w:rPr>
        <w:t>现欢迎合格的供应商参加投标。</w:t>
      </w:r>
    </w:p>
    <w:p w14:paraId="102ECAED">
      <w:pPr>
        <w:pStyle w:val="8"/>
        <w:spacing w:line="360" w:lineRule="auto"/>
        <w:ind w:firstLine="480" w:firstLineChars="200"/>
        <w:jc w:val="both"/>
        <w:rPr>
          <w:rFonts w:ascii="Times New Roman" w:hAnsi="Times New Roman" w:eastAsia="宋体" w:cs="Times New Roman"/>
          <w:color w:val="auto"/>
          <w:szCs w:val="32"/>
        </w:rPr>
      </w:pPr>
      <w:r>
        <w:rPr>
          <w:rFonts w:hint="eastAsia" w:ascii="Times New Roman" w:hAnsi="Times New Roman" w:eastAsia="宋体" w:cs="Times New Roman"/>
          <w:color w:val="auto"/>
          <w:szCs w:val="32"/>
        </w:rPr>
        <w:t>本项目为远程招投标，一律不接受纸质投标文件，只接受加盖投标人电子签章的电子投标文件（以通过天津公共资源电子签章客户端正确读取签章信息为准）。供应商参加投标前须办理CA数字证书（USBKey）和电子签章。投标人须按招标文件的规定在天津市政府采购中心招投标系统中提交网上应答并上传加盖投标人电子签章的电子投标文件（以通过天津公共资源电子签章客户端正确读取签章信息为准）。</w:t>
      </w:r>
    </w:p>
    <w:p w14:paraId="4026500F">
      <w:pPr>
        <w:pStyle w:val="8"/>
        <w:spacing w:line="360" w:lineRule="auto"/>
        <w:ind w:firstLine="480" w:firstLineChars="200"/>
        <w:jc w:val="both"/>
        <w:rPr>
          <w:rFonts w:ascii="Times New Roman" w:hAnsi="Times New Roman" w:eastAsia="宋体" w:cs="Times New Roman"/>
          <w:color w:val="auto"/>
          <w:szCs w:val="32"/>
        </w:rPr>
      </w:pPr>
      <w:r>
        <w:rPr>
          <w:rFonts w:ascii="Times New Roman" w:hAnsi="Times New Roman" w:eastAsia="宋体" w:cs="Times New Roman"/>
          <w:color w:val="auto"/>
          <w:szCs w:val="32"/>
        </w:rPr>
        <w:t>一、项目名称和编号</w:t>
      </w:r>
    </w:p>
    <w:p w14:paraId="4FEC661B">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（一）项目名称：</w:t>
      </w:r>
      <w:r>
        <w:rPr>
          <w:rFonts w:hint="eastAsia" w:ascii="Times New Roman" w:hAnsi="Times New Roman" w:eastAsia="宋体" w:cs="Times New Roman"/>
          <w:color w:val="auto"/>
        </w:rPr>
        <w:t xml:space="preserve"> 天津市第一医院医疗设备项目</w:t>
      </w:r>
    </w:p>
    <w:p w14:paraId="7C6D8E1A">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（二）项目编号：TGPC-2025-A-0573</w:t>
      </w:r>
    </w:p>
    <w:p w14:paraId="034EC276">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二、项目内容</w:t>
      </w:r>
    </w:p>
    <w:p w14:paraId="66AF449A">
      <w:pPr>
        <w:tabs>
          <w:tab w:val="left" w:pos="210"/>
        </w:tabs>
        <w:autoSpaceDE w:val="0"/>
        <w:autoSpaceDN w:val="0"/>
        <w:adjustRightInd w:val="0"/>
        <w:spacing w:line="360" w:lineRule="auto"/>
        <w:ind w:firstLine="480" w:firstLineChars="200"/>
        <w:outlineLvl w:val="0"/>
        <w:rPr>
          <w:sz w:val="24"/>
          <w:szCs w:val="24"/>
          <w:lang w:val="zh-CN"/>
        </w:rPr>
      </w:pPr>
      <w:r>
        <w:rPr>
          <w:rFonts w:hint="eastAsia"/>
          <w:sz w:val="24"/>
          <w:szCs w:val="24"/>
          <w:lang w:val="zh-CN"/>
        </w:rPr>
        <w:t>第一包：经颅磁刺激系统1套、体外冲击波治疗仪1套、激光低频磁场治疗仪1台、红外偏振光治疗仪1台、电脑中频药透1台（采购需求详见附件）；</w:t>
      </w:r>
    </w:p>
    <w:p w14:paraId="36DEE813">
      <w:pPr>
        <w:tabs>
          <w:tab w:val="left" w:pos="210"/>
        </w:tabs>
        <w:autoSpaceDE w:val="0"/>
        <w:autoSpaceDN w:val="0"/>
        <w:adjustRightInd w:val="0"/>
        <w:spacing w:line="360" w:lineRule="auto"/>
        <w:ind w:firstLine="480" w:firstLineChars="200"/>
        <w:outlineLvl w:val="0"/>
        <w:rPr>
          <w:sz w:val="24"/>
          <w:szCs w:val="24"/>
          <w:lang w:val="zh-CN"/>
        </w:rPr>
      </w:pPr>
      <w:r>
        <w:rPr>
          <w:rFonts w:hint="eastAsia"/>
          <w:sz w:val="24"/>
          <w:szCs w:val="24"/>
          <w:lang w:val="zh-CN"/>
        </w:rPr>
        <w:t>合同履行期限：签订合同之日起30日内。</w:t>
      </w:r>
    </w:p>
    <w:p w14:paraId="603D68EF">
      <w:pPr>
        <w:tabs>
          <w:tab w:val="left" w:pos="210"/>
        </w:tabs>
        <w:autoSpaceDE w:val="0"/>
        <w:autoSpaceDN w:val="0"/>
        <w:adjustRightInd w:val="0"/>
        <w:spacing w:line="360" w:lineRule="auto"/>
        <w:ind w:firstLine="480" w:firstLineChars="200"/>
        <w:outlineLvl w:val="0"/>
        <w:rPr>
          <w:strike/>
          <w:sz w:val="24"/>
          <w:szCs w:val="24"/>
        </w:rPr>
      </w:pPr>
      <w:r>
        <w:rPr>
          <w:sz w:val="24"/>
          <w:szCs w:val="24"/>
          <w:lang w:val="zh-CN"/>
        </w:rPr>
        <w:t>本项目</w:t>
      </w:r>
      <w:r>
        <w:rPr>
          <w:rFonts w:hint="eastAsia"/>
          <w:sz w:val="24"/>
          <w:szCs w:val="24"/>
          <w:lang w:val="zh-CN"/>
        </w:rPr>
        <w:t>不接受进口产品投标。</w:t>
      </w:r>
    </w:p>
    <w:p w14:paraId="0F0D3F02">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三、项目预算</w:t>
      </w:r>
    </w:p>
    <w:p w14:paraId="5C12FEFC">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第一包：1400000元；</w:t>
      </w:r>
    </w:p>
    <w:p w14:paraId="523005BA">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、供应商资格要求（实质性要求）</w:t>
      </w:r>
    </w:p>
    <w:p w14:paraId="070F1627">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一）若投标人是所投产品的制造商，提供其医疗器械生产企业备案证明文件或医疗器械生产企业许可证扫描件；若投标人不是所投产品的制造商（第一类医疗器械除外），提供其医疗器械经营企业备案证明文件或医疗器械经营企业许可证扫描件。</w:t>
      </w:r>
    </w:p>
    <w:p w14:paraId="5AF1E5B8">
      <w:pPr>
        <w:pStyle w:val="8"/>
        <w:spacing w:line="360" w:lineRule="auto"/>
        <w:ind w:firstLine="480" w:firstLineChars="200"/>
        <w:rPr>
          <w:rFonts w:ascii="Times New Roman" w:hAnsi="Times New Roman" w:eastAsia="宋体" w:cs="Times New Roman"/>
          <w:color w:val="auto"/>
        </w:rPr>
      </w:pPr>
      <w:bookmarkStart w:id="0" w:name="OLE_LINK1"/>
      <w:bookmarkStart w:id="1" w:name="OLE_LINK3"/>
      <w:bookmarkStart w:id="2" w:name="OLE_LINK2"/>
      <w:bookmarkStart w:id="3" w:name="OLE_LINK4"/>
      <w:r>
        <w:rPr>
          <w:rFonts w:hint="eastAsia" w:ascii="Times New Roman" w:hAnsi="Times New Roman" w:eastAsia="宋体" w:cs="Times New Roman"/>
          <w:color w:val="auto"/>
        </w:rPr>
        <w:t>（二）投标人须具备《中华人民共和国政府采购法》第二十二条第一款规定的条件，提供以下材料：</w:t>
      </w:r>
    </w:p>
    <w:p w14:paraId="010DF39F">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营业执照副本或事业单位法人证书或民办非企业单位登记证书或社会团体法人登记证书或基金会法人登记证书扫描件或自然人的身份证明扫描件。</w:t>
      </w:r>
    </w:p>
    <w:p w14:paraId="595933B0">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提供《供应商资格声明函》（格式见附件2）。</w:t>
      </w:r>
    </w:p>
    <w:p w14:paraId="5CB7B219">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（三）本项目不接受联合体投标。</w:t>
      </w:r>
    </w:p>
    <w:p w14:paraId="23445C39">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w:t>
      </w:r>
      <w:r>
        <w:rPr>
          <w:rFonts w:ascii="Times New Roman" w:hAnsi="Times New Roman" w:eastAsia="宋体" w:cs="Times New Roman"/>
          <w:color w:val="auto"/>
        </w:rPr>
        <w:t>、项目需要落实的政府采购政策</w:t>
      </w:r>
    </w:p>
    <w:p w14:paraId="5AEBDCC5">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（一）全部货物均由小微企业制造的，对符合规定的小微企业制造的产品报价给予20%的扣除。货物既有小微企业制造的货物，也有大中企业制造的货物，不享受此扶持政策。</w:t>
      </w:r>
    </w:p>
    <w:p w14:paraId="2E9D6D89">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（二）根据财政部发布的《关于政府采购支持监狱企业发展有关问题的通知》规定，监狱企业视同小微企业。</w:t>
      </w:r>
    </w:p>
    <w:p w14:paraId="6F36CF7B">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（三）根据财政部、民政部、中国残疾人联合会发布的《关于促进残疾人就业政府采购政策的通知》规定，残疾人福利性单位视同小微企业。</w:t>
      </w:r>
    </w:p>
    <w:p w14:paraId="11A010D6">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注：中小微企业以投标人填写的《中小企业声明函》为判定标准，残疾人福利性单位以投标人填写的《残疾人福利性单位声明函》为判定标准，监狱企业须投标人提供由省级以上监狱管理局、戒毒管理局（含新疆生产建设兵团）出具的属于监狱企业的证明文件，否则不予认定。以上政策不重复享受。</w:t>
      </w:r>
    </w:p>
    <w:p w14:paraId="544587CB">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涉及商品包装或快递包装的，按照《财政部办公厅、生态环境部办公厅、国家邮政局办公室关于印发&lt;商品包装政府采购需求标准（试行）&gt;、&lt;快递包装政府采购需求标准（试行）&gt;的通知》（财办库〔2020〕123号）要求执行。</w:t>
      </w:r>
    </w:p>
    <w:p w14:paraId="506DBD18">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五）按照《财政部关于在政府采购活动中查询及使用信用记录有关问题的通知》（财库〔2016〕125号）的要求，根据开标当日解密截止时间“信用中国”网站（www.creditchina.gov.cn）、中国政府采购网（www.ccgp.gov.cn）的信息，对列入失信被执行人、重大税收违法案件当事人名单、政府采购严重违法失信行为记录名单及其他不符合《中华人民共和国政府采购法》第二十二条规定条件的供应商，拒绝参与政府采购活动，同时对信用信息查询记录和证据进行打印存档。</w:t>
      </w:r>
    </w:p>
    <w:p w14:paraId="191FF7C5">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六）按照《关于调整优化节能产品、环境标志产品政府采购执行机制的通知》（财库〔2019〕9号）、《关于印发环境标志产品政府采购品目清单的通知》（财库〔2019〕18号）、《关于印发节能产品政府采购品目清单的通知》（财库〔2019〕19号）、《市场监管总局关于发布参与实施政府采购节能产品、环境标志产品认证机构名录的公告》（2019年第16号）等文件要求，对政府采购节能、环境标志品目清单内的产品实施优先采购和强制采购的评标方法。</w:t>
      </w:r>
    </w:p>
    <w:bookmarkEnd w:id="0"/>
    <w:bookmarkEnd w:id="1"/>
    <w:bookmarkEnd w:id="2"/>
    <w:bookmarkEnd w:id="3"/>
    <w:p w14:paraId="3D917908">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六、获取招标文件时间、方式</w:t>
      </w:r>
    </w:p>
    <w:p w14:paraId="7F38BC43">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（一）获取招标文件时间：2025年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5</w:t>
      </w:r>
      <w:r>
        <w:rPr>
          <w:rFonts w:ascii="Times New Roman" w:hAnsi="Times New Roman" w:eastAsia="宋体" w:cs="Times New Roman"/>
          <w:color w:val="auto"/>
        </w:rPr>
        <w:t>日，每日9:00至17:00（北京时间，法定节假日除外）。</w:t>
      </w:r>
    </w:p>
    <w:p w14:paraId="75F165DF">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（二）获取招标文件的方式：</w:t>
      </w:r>
    </w:p>
    <w:p w14:paraId="6B23130D">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1.</w:t>
      </w:r>
      <w:r>
        <w:rPr>
          <w:rFonts w:hint="eastAsia" w:ascii="Times New Roman" w:hAnsi="Times New Roman" w:eastAsia="宋体" w:cs="Times New Roman"/>
          <w:color w:val="auto"/>
        </w:rPr>
        <w:t xml:space="preserve"> </w:t>
      </w:r>
      <w:r>
        <w:rPr>
          <w:rFonts w:ascii="Times New Roman" w:hAnsi="Times New Roman" w:eastAsia="宋体" w:cs="Times New Roman"/>
          <w:color w:val="auto"/>
        </w:rPr>
        <w:t>获取招标文件网址：使用天津数字认证有限公司发出的CA数字证书（原天津市电子认证中心发出尚在有效期内的CA数字证书仍可使用）登录天津市政府采购中心网（网址：</w:t>
      </w:r>
      <w:r>
        <w:fldChar w:fldCharType="begin"/>
      </w:r>
      <w:r>
        <w:rPr>
          <w:color w:val="auto"/>
        </w:rPr>
        <w:instrText xml:space="preserve"> HYPERLINK "http://www.tjgpc.gov.cn" </w:instrText>
      </w:r>
      <w:r>
        <w:fldChar w:fldCharType="separate"/>
      </w:r>
      <w:r>
        <w:rPr>
          <w:rStyle w:val="7"/>
          <w:rFonts w:hint="eastAsia" w:ascii="Times New Roman" w:hAnsi="Times New Roman" w:eastAsia="宋体" w:cs="Times New Roman"/>
          <w:color w:val="auto"/>
        </w:rPr>
        <w:t>http://tjgpc.zwfwb.tj.gov.cn</w:t>
      </w:r>
      <w:r>
        <w:rPr>
          <w:rStyle w:val="7"/>
          <w:rFonts w:ascii="Times New Roman" w:hAnsi="Times New Roman" w:eastAsia="宋体" w:cs="Times New Roman"/>
          <w:color w:val="auto"/>
        </w:rPr>
        <w:fldChar w:fldCharType="end"/>
      </w:r>
      <w:r>
        <w:rPr>
          <w:rFonts w:hint="eastAsia" w:ascii="Times New Roman" w:hAnsi="Times New Roman" w:eastAsia="宋体" w:cs="Times New Roman"/>
          <w:color w:val="auto"/>
        </w:rPr>
        <w:t>）-“网上招投标”-“供应商登录”-“市级集采机构入口”</w:t>
      </w:r>
      <w:r>
        <w:rPr>
          <w:rFonts w:ascii="Times New Roman" w:hAnsi="Times New Roman" w:eastAsia="宋体" w:cs="Times New Roman"/>
          <w:color w:val="auto"/>
        </w:rPr>
        <w:t>下载招标文件。</w:t>
      </w:r>
    </w:p>
    <w:p w14:paraId="744DB44A">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供应商注册、</w:t>
      </w:r>
      <w:r>
        <w:rPr>
          <w:rFonts w:ascii="Times New Roman" w:hAnsi="Times New Roman" w:eastAsia="宋体" w:cs="Times New Roman"/>
          <w:color w:val="auto"/>
        </w:rPr>
        <w:t>CA数字证书（USBKey）</w:t>
      </w:r>
      <w:r>
        <w:rPr>
          <w:rFonts w:hint="eastAsia" w:ascii="Times New Roman" w:hAnsi="Times New Roman" w:eastAsia="宋体" w:cs="Times New Roman"/>
          <w:color w:val="auto"/>
        </w:rPr>
        <w:t>领取、</w:t>
      </w:r>
      <w:r>
        <w:rPr>
          <w:rFonts w:hint="eastAsia" w:ascii="Times New Roman" w:hAnsi="Times New Roman" w:eastAsia="宋体"/>
          <w:color w:val="auto"/>
        </w:rPr>
        <w:t>电子签章办理</w:t>
      </w:r>
      <w:r>
        <w:rPr>
          <w:rFonts w:hint="eastAsia" w:ascii="Times New Roman" w:hAnsi="Times New Roman" w:eastAsia="宋体" w:cs="Times New Roman"/>
          <w:color w:val="auto"/>
        </w:rPr>
        <w:t>办法：</w:t>
      </w:r>
    </w:p>
    <w:p w14:paraId="02213483">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（1）天津市政府采购中心网注册：登录天津市政府采购中心网（</w:t>
      </w:r>
      <w:r>
        <w:rPr>
          <w:rFonts w:ascii="Times New Roman" w:hAnsi="Times New Roman" w:eastAsia="宋体" w:cs="Times New Roman"/>
          <w:color w:val="auto"/>
        </w:rPr>
        <w:t>http://tjgpc.zwfwb.tj.gov.cn</w:t>
      </w:r>
      <w:r>
        <w:rPr>
          <w:rFonts w:hint="eastAsia" w:ascii="Times New Roman" w:hAnsi="Times New Roman" w:eastAsia="宋体" w:cs="Times New Roman"/>
          <w:color w:val="auto"/>
        </w:rPr>
        <w:t>）首页点击“用户注册维护”，填写相关内容。天津市政府采购中心</w:t>
      </w:r>
      <w:r>
        <w:rPr>
          <w:rFonts w:hint="eastAsia" w:ascii="Times New Roman" w:hAnsi="Times New Roman" w:eastAsia="宋体"/>
          <w:color w:val="auto"/>
        </w:rPr>
        <w:t>注册窗口联系电话：</w:t>
      </w:r>
      <w:r>
        <w:rPr>
          <w:rFonts w:ascii="Times New Roman" w:hAnsi="Times New Roman" w:eastAsia="宋体"/>
          <w:color w:val="auto"/>
        </w:rPr>
        <w:t>022-</w:t>
      </w:r>
      <w:r>
        <w:rPr>
          <w:rFonts w:hint="eastAsia" w:ascii="Times New Roman" w:hAnsi="Times New Roman" w:eastAsia="宋体" w:cs="Times New Roman"/>
          <w:color w:val="auto"/>
        </w:rPr>
        <w:t>24538167</w:t>
      </w:r>
      <w:r>
        <w:rPr>
          <w:rFonts w:hint="eastAsia" w:ascii="Times New Roman" w:hAnsi="Times New Roman" w:eastAsia="宋体"/>
          <w:color w:val="auto"/>
        </w:rPr>
        <w:t>。</w:t>
      </w:r>
    </w:p>
    <w:p w14:paraId="741A3363">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（2）CA数字证书（USBKey）领取及</w:t>
      </w:r>
      <w:r>
        <w:rPr>
          <w:rFonts w:hint="eastAsia" w:ascii="Times New Roman" w:hAnsi="Times New Roman" w:eastAsia="宋体"/>
          <w:color w:val="auto"/>
        </w:rPr>
        <w:t>电子签章办理</w:t>
      </w:r>
      <w:r>
        <w:rPr>
          <w:rFonts w:hint="eastAsia" w:ascii="Times New Roman" w:hAnsi="Times New Roman" w:eastAsia="宋体" w:cs="Times New Roman"/>
          <w:color w:val="auto"/>
        </w:rPr>
        <w:t>：参见天津市政府采购中心网（http://tjgpc.zwfwb.tj.gov.cn）--服务指南--供应商注册、领取CA数字证书（USBKey）及电子签章制章的流程。</w:t>
      </w:r>
    </w:p>
    <w:p w14:paraId="64F21092">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CA数字证书办理联系电话：400-0566-110或022-24538059。</w:t>
      </w:r>
    </w:p>
    <w:p w14:paraId="51B15CD4">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电子签章办理联系电话：022-24538059。</w:t>
      </w:r>
    </w:p>
    <w:p w14:paraId="19C7B74D">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w:t>
      </w:r>
      <w:r>
        <w:rPr>
          <w:rFonts w:hint="eastAsia" w:ascii="Times New Roman" w:hAnsi="Times New Roman" w:eastAsia="宋体" w:cs="Times New Roman"/>
          <w:color w:val="auto"/>
        </w:rPr>
        <w:t>三</w:t>
      </w:r>
      <w:r>
        <w:rPr>
          <w:rFonts w:ascii="Times New Roman" w:hAnsi="Times New Roman" w:eastAsia="宋体" w:cs="Times New Roman"/>
          <w:color w:val="auto"/>
        </w:rPr>
        <w:t>）</w:t>
      </w:r>
      <w:r>
        <w:rPr>
          <w:rFonts w:hint="eastAsia" w:ascii="Times New Roman" w:hAnsi="Times New Roman" w:eastAsia="宋体" w:cs="Times New Roman"/>
          <w:color w:val="auto"/>
        </w:rPr>
        <w:t>本项目不组织</w:t>
      </w:r>
      <w:r>
        <w:rPr>
          <w:rFonts w:ascii="Times New Roman" w:hAnsi="Times New Roman" w:eastAsia="宋体" w:cs="Times New Roman"/>
          <w:color w:val="auto"/>
        </w:rPr>
        <w:t>踏勘现场。</w:t>
      </w:r>
    </w:p>
    <w:p w14:paraId="5058A98C">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（四）本项目不组织标前答疑会</w:t>
      </w:r>
      <w:r>
        <w:rPr>
          <w:rFonts w:ascii="Times New Roman" w:hAnsi="Times New Roman" w:eastAsia="宋体" w:cs="Times New Roman"/>
          <w:color w:val="auto"/>
        </w:rPr>
        <w:t>。</w:t>
      </w:r>
    </w:p>
    <w:p w14:paraId="3C7122EC">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七、网上应答时间</w:t>
      </w:r>
    </w:p>
    <w:p w14:paraId="734505B7">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日9:00至202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进行应答</w:t>
      </w:r>
      <w:r>
        <w:rPr>
          <w:rFonts w:hint="eastAsia" w:ascii="Times New Roman" w:hAnsi="Times New Roman" w:eastAsia="宋体" w:cs="Times New Roman"/>
          <w:color w:val="auto"/>
        </w:rPr>
        <w:t>并提交</w:t>
      </w:r>
      <w:r>
        <w:rPr>
          <w:rFonts w:ascii="Times New Roman" w:hAnsi="Times New Roman" w:eastAsia="宋体" w:cs="Times New Roman"/>
          <w:color w:val="auto"/>
        </w:rPr>
        <w:t>。</w:t>
      </w:r>
    </w:p>
    <w:p w14:paraId="3B294516">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网上应答帮助链接：http://tjgpc.zwfwb.tj.gov.cn/webInfo/getWebInfoListForwebInfoClass.do?fkWebInfoclassId=W008</w:t>
      </w:r>
    </w:p>
    <w:p w14:paraId="2F5F966D">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八、投标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w:t>
      </w:r>
      <w:r>
        <w:rPr>
          <w:rFonts w:hint="eastAsia" w:ascii="Times New Roman" w:hAnsi="Times New Roman" w:eastAsia="宋体" w:cs="Times New Roman"/>
          <w:color w:val="auto"/>
        </w:rPr>
        <w:t>及方式</w:t>
      </w:r>
    </w:p>
    <w:p w14:paraId="0EB95D95">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（一）投标</w:t>
      </w:r>
      <w:r>
        <w:rPr>
          <w:rFonts w:hint="eastAsia" w:ascii="Times New Roman" w:hAnsi="Times New Roman" w:eastAsia="宋体" w:cs="Times New Roman"/>
          <w:color w:val="auto"/>
        </w:rPr>
        <w:t>截止</w:t>
      </w:r>
      <w:r>
        <w:rPr>
          <w:rFonts w:ascii="Times New Roman" w:hAnsi="Times New Roman" w:eastAsia="宋体" w:cs="Times New Roman"/>
          <w:color w:val="auto"/>
        </w:rPr>
        <w:t>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w:t>
      </w:r>
      <w:r>
        <w:rPr>
          <w:rFonts w:hint="eastAsia" w:ascii="Times New Roman" w:hAnsi="Times New Roman" w:eastAsia="宋体" w:cs="Times New Roman"/>
          <w:color w:val="auto"/>
          <w:szCs w:val="21"/>
        </w:rPr>
        <w:t>。</w:t>
      </w:r>
      <w:r>
        <w:rPr>
          <w:rFonts w:ascii="Times New Roman" w:hAnsi="Times New Roman" w:eastAsia="宋体" w:cs="Times New Roman"/>
          <w:color w:val="auto"/>
        </w:rPr>
        <w:t>投标截止时间前</w:t>
      </w:r>
      <w:r>
        <w:rPr>
          <w:rFonts w:hint="eastAsia" w:ascii="Times New Roman" w:hAnsi="Times New Roman" w:eastAsia="宋体" w:cs="Times New Roman"/>
          <w:color w:val="auto"/>
        </w:rPr>
        <w:t>提交网上应答并上传加盖投标人电子签章的电子投标文件（以通过天津公共资源电子签章客户端正确读取签章信息为准）</w:t>
      </w:r>
      <w:r>
        <w:rPr>
          <w:rFonts w:ascii="Times New Roman" w:hAnsi="Times New Roman" w:eastAsia="宋体" w:cs="Times New Roman"/>
          <w:color w:val="auto"/>
        </w:rPr>
        <w:t>方为有效投标。</w:t>
      </w:r>
    </w:p>
    <w:p w14:paraId="1CAEB0E5">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（二）投标</w:t>
      </w:r>
      <w:r>
        <w:rPr>
          <w:rFonts w:hint="eastAsia" w:ascii="Times New Roman" w:hAnsi="Times New Roman" w:eastAsia="宋体" w:cs="Times New Roman"/>
          <w:color w:val="auto"/>
        </w:rPr>
        <w:t>方式</w:t>
      </w:r>
      <w:r>
        <w:rPr>
          <w:rFonts w:ascii="Times New Roman" w:hAnsi="Times New Roman" w:eastAsia="宋体" w:cs="Times New Roman"/>
          <w:color w:val="auto"/>
        </w:rPr>
        <w:t>：本项目投标采用网上电子投标方式，投标人须于投标截止时间前使用天津数字认证有限公司发出的CA数字证书（原天津市电子认证中心发出尚在有效期内的CA数字证书仍可使用）登录</w:t>
      </w:r>
      <w:r>
        <w:rPr>
          <w:rFonts w:hint="eastAsia" w:ascii="Times New Roman" w:hAnsi="Times New Roman" w:eastAsia="宋体" w:cs="Times New Roman"/>
          <w:color w:val="auto"/>
        </w:rPr>
        <w:t>天津市政府采购中心网（网址：http://tjgpc.zwfwb.tj.gov.cn）-“网上招投标”-“供应商登录”-“市级集采机构入口”提交网上应答并上传加盖投标人电子签章的电子投标文件（以通过天津公共资源电子签章客户端正确读取签章信息为准）。</w:t>
      </w:r>
    </w:p>
    <w:p w14:paraId="2C32A9A7">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九</w:t>
      </w:r>
      <w:r>
        <w:rPr>
          <w:rFonts w:ascii="Times New Roman" w:hAnsi="Times New Roman" w:eastAsia="宋体" w:cs="Times New Roman"/>
          <w:color w:val="auto"/>
        </w:rPr>
        <w:t>、开标时间及方式</w:t>
      </w:r>
    </w:p>
    <w:p w14:paraId="2E340BE7">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（一）开标解密时间：202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日8:30至9:</w:t>
      </w:r>
      <w:r>
        <w:rPr>
          <w:rFonts w:hint="eastAsia" w:ascii="Times New Roman" w:hAnsi="Times New Roman" w:eastAsia="宋体" w:cs="Times New Roman"/>
          <w:color w:val="auto"/>
        </w:rPr>
        <w:t>30</w:t>
      </w:r>
      <w:r>
        <w:rPr>
          <w:rFonts w:ascii="Times New Roman" w:hAnsi="Times New Roman" w:eastAsia="宋体" w:cs="Times New Roman"/>
          <w:color w:val="auto"/>
        </w:rPr>
        <w:t>完成开标解密的投标为有效投标。</w:t>
      </w:r>
    </w:p>
    <w:p w14:paraId="0B3FEBD2">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（二）开标</w:t>
      </w:r>
      <w:r>
        <w:rPr>
          <w:rFonts w:hint="eastAsia" w:ascii="Times New Roman" w:hAnsi="Times New Roman" w:eastAsia="宋体" w:cs="Times New Roman"/>
          <w:color w:val="auto"/>
        </w:rPr>
        <w:t>解密方式</w:t>
      </w:r>
      <w:r>
        <w:rPr>
          <w:rFonts w:ascii="Times New Roman" w:hAnsi="Times New Roman" w:eastAsia="宋体" w:cs="Times New Roman"/>
          <w:color w:val="auto"/>
        </w:rPr>
        <w:t>：本项目采用网上开标方式，投标人须于</w:t>
      </w:r>
      <w:r>
        <w:rPr>
          <w:rFonts w:hint="eastAsia" w:ascii="Times New Roman" w:hAnsi="Times New Roman" w:eastAsia="宋体" w:cs="Times New Roman"/>
          <w:color w:val="auto"/>
        </w:rPr>
        <w:t>规定时间</w:t>
      </w:r>
      <w:r>
        <w:rPr>
          <w:rFonts w:ascii="Times New Roman" w:hAnsi="Times New Roman" w:eastAsia="宋体" w:cs="Times New Roman"/>
          <w:color w:val="auto"/>
        </w:rPr>
        <w:t>内使用天津数字认证有限公司发出的CA数字证书（原天津市电子认证中心发出尚在有效期内的CA数字证书仍可使用）</w:t>
      </w:r>
      <w:r>
        <w:rPr>
          <w:rFonts w:hint="eastAsia" w:ascii="Times New Roman" w:hAnsi="Times New Roman" w:eastAsia="宋体" w:cs="Times New Roman"/>
          <w:color w:val="auto"/>
        </w:rPr>
        <w:t>登录天津市政府采购中心网（网址：http://tjgpc.zwfwb.tj.gov.cn）-“网上招投标”-“供应商登录”-“市级集采机构入口”</w:t>
      </w:r>
      <w:r>
        <w:rPr>
          <w:rFonts w:ascii="Times New Roman" w:hAnsi="Times New Roman" w:eastAsia="宋体" w:cs="Times New Roman"/>
          <w:color w:val="auto"/>
        </w:rPr>
        <w:t>完成开标解密。</w:t>
      </w:r>
    </w:p>
    <w:p w14:paraId="401B5CB5">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（三）网上开标公示时间：202</w:t>
      </w:r>
      <w:r>
        <w:rPr>
          <w:rFonts w:hint="eastAsia" w:ascii="Times New Roman" w:hAnsi="Times New Roman" w:eastAsia="宋体" w:cs="Times New Roman"/>
          <w:color w:val="auto"/>
        </w:rPr>
        <w:t>6</w:t>
      </w:r>
      <w:r>
        <w:rPr>
          <w:rFonts w:ascii="Times New Roman" w:hAnsi="Times New Roman" w:eastAsia="宋体" w:cs="Times New Roman"/>
          <w:color w:val="auto"/>
        </w:rPr>
        <w:t>年</w:t>
      </w:r>
      <w:r>
        <w:rPr>
          <w:rFonts w:hint="eastAsia" w:ascii="Times New Roman" w:hAnsi="Times New Roman" w:eastAsia="宋体" w:cs="Times New Roman"/>
          <w:color w:val="auto"/>
        </w:rPr>
        <w:t>1</w:t>
      </w:r>
      <w:r>
        <w:rPr>
          <w:rFonts w:ascii="Times New Roman" w:hAnsi="Times New Roman" w:eastAsia="宋体" w:cs="Times New Roman"/>
          <w:color w:val="auto"/>
        </w:rPr>
        <w:t>月</w:t>
      </w:r>
      <w:r>
        <w:rPr>
          <w:rFonts w:hint="eastAsia" w:ascii="Times New Roman" w:hAnsi="Times New Roman" w:eastAsia="宋体" w:cs="Times New Roman"/>
          <w:color w:val="auto"/>
        </w:rPr>
        <w:t>16</w:t>
      </w:r>
      <w:r>
        <w:rPr>
          <w:rFonts w:ascii="Times New Roman" w:hAnsi="Times New Roman" w:eastAsia="宋体" w:cs="Times New Roman"/>
          <w:color w:val="auto"/>
        </w:rPr>
        <w:t>日9:</w:t>
      </w:r>
      <w:r>
        <w:rPr>
          <w:rFonts w:hint="eastAsia" w:ascii="Times New Roman" w:hAnsi="Times New Roman" w:eastAsia="宋体" w:cs="Times New Roman"/>
          <w:color w:val="auto"/>
        </w:rPr>
        <w:t>30</w:t>
      </w:r>
      <w:r>
        <w:rPr>
          <w:rFonts w:ascii="Times New Roman" w:hAnsi="Times New Roman" w:eastAsia="宋体" w:cs="Times New Roman"/>
          <w:color w:val="auto"/>
        </w:rPr>
        <w:t>至12:00。</w:t>
      </w:r>
      <w:r>
        <w:rPr>
          <w:rFonts w:hint="eastAsia" w:ascii="Times New Roman" w:hAnsi="Times New Roman" w:eastAsia="宋体" w:cs="Times New Roman"/>
          <w:color w:val="auto"/>
        </w:rPr>
        <w:t>投标人可在规定时间内使用天津数字认证有限公司发出的CA数字证书（原天津市电子认证中心发出尚在有效期内的CA数字证书仍可使用）登录天津市政府采购中心网（网址：http://tjgpc.zwfwb.tj.gov.cn）-“网上招投标”-“供应商登录”-“市级集采机构入口”自行查看开标信息。</w:t>
      </w:r>
    </w:p>
    <w:p w14:paraId="669ACC90">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十</w:t>
      </w:r>
      <w:r>
        <w:rPr>
          <w:rFonts w:ascii="Times New Roman" w:hAnsi="Times New Roman" w:eastAsia="宋体" w:cs="Times New Roman"/>
          <w:color w:val="auto"/>
        </w:rPr>
        <w:t>、采购代理机构名称、地址</w:t>
      </w:r>
      <w:r>
        <w:rPr>
          <w:rFonts w:hint="eastAsia" w:ascii="Times New Roman" w:hAnsi="Times New Roman" w:eastAsia="宋体" w:cs="Times New Roman"/>
          <w:color w:val="auto"/>
        </w:rPr>
        <w:t>、</w:t>
      </w:r>
      <w:r>
        <w:rPr>
          <w:rFonts w:ascii="Times New Roman" w:hAnsi="Times New Roman" w:eastAsia="宋体" w:cs="Times New Roman"/>
          <w:color w:val="auto"/>
        </w:rPr>
        <w:t>联系人及联系方式</w:t>
      </w:r>
    </w:p>
    <w:p w14:paraId="27FE8617">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（一）</w:t>
      </w:r>
      <w:r>
        <w:rPr>
          <w:rFonts w:hint="eastAsia" w:ascii="Times New Roman" w:hAnsi="Times New Roman" w:eastAsia="宋体" w:cs="Times New Roman"/>
          <w:color w:val="auto"/>
        </w:rPr>
        <w:t>采购代理机构名称：天津市政府采购中心</w:t>
      </w:r>
    </w:p>
    <w:p w14:paraId="4EC432B1">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（二）采购代理机构地址：天津市河东区红星路79号二楼</w:t>
      </w:r>
      <w:r>
        <w:rPr>
          <w:rFonts w:hint="eastAsia" w:ascii="Times New Roman" w:hAnsi="Times New Roman" w:eastAsia="宋体" w:cs="Times New Roman"/>
          <w:color w:val="auto"/>
        </w:rPr>
        <w:t>（邮编</w:t>
      </w:r>
      <w:r>
        <w:rPr>
          <w:rFonts w:ascii="Times New Roman" w:hAnsi="Times New Roman" w:eastAsia="宋体" w:cs="Times New Roman"/>
          <w:color w:val="auto"/>
        </w:rPr>
        <w:t>：300161</w:t>
      </w:r>
      <w:r>
        <w:rPr>
          <w:rFonts w:hint="eastAsia" w:ascii="Times New Roman" w:hAnsi="Times New Roman" w:eastAsia="宋体" w:cs="Times New Roman"/>
          <w:color w:val="auto"/>
        </w:rPr>
        <w:t>）</w:t>
      </w:r>
    </w:p>
    <w:p w14:paraId="3D9DC4E0">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（三）</w:t>
      </w:r>
      <w:r>
        <w:rPr>
          <w:rFonts w:ascii="Times New Roman" w:hAnsi="Times New Roman" w:eastAsia="宋体" w:cs="Times New Roman"/>
          <w:color w:val="auto"/>
        </w:rPr>
        <w:t>网址：http://tjgpc.zwfwb.tj.gov.cn</w:t>
      </w:r>
    </w:p>
    <w:p w14:paraId="03D18987">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（四）</w:t>
      </w:r>
      <w:r>
        <w:rPr>
          <w:rFonts w:ascii="Times New Roman" w:hAnsi="Times New Roman" w:eastAsia="宋体" w:cs="Times New Roman"/>
          <w:color w:val="auto"/>
        </w:rPr>
        <w:t>对外办公时间：</w:t>
      </w:r>
      <w:r>
        <w:rPr>
          <w:rFonts w:hint="eastAsia" w:ascii="Times New Roman" w:hAnsi="Times New Roman" w:eastAsia="宋体" w:cs="Times New Roman"/>
          <w:color w:val="auto"/>
        </w:rPr>
        <w:t>法定</w:t>
      </w:r>
      <w:r>
        <w:rPr>
          <w:rFonts w:ascii="Times New Roman" w:hAnsi="Times New Roman" w:eastAsia="宋体" w:cs="Times New Roman"/>
          <w:color w:val="auto"/>
        </w:rPr>
        <w:t>工作日9:00～12:00，14:00～1</w:t>
      </w:r>
      <w:r>
        <w:rPr>
          <w:rFonts w:hint="eastAsia" w:ascii="Times New Roman" w:hAnsi="Times New Roman" w:eastAsia="宋体" w:cs="Times New Roman"/>
          <w:color w:val="auto"/>
        </w:rPr>
        <w:t>7</w:t>
      </w:r>
      <w:r>
        <w:rPr>
          <w:rFonts w:ascii="Times New Roman" w:hAnsi="Times New Roman" w:eastAsia="宋体" w:cs="Times New Roman"/>
          <w:color w:val="auto"/>
        </w:rPr>
        <w:t>:00</w:t>
      </w:r>
    </w:p>
    <w:p w14:paraId="47BAEBD9">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（五）咨询服务电话</w:t>
      </w:r>
    </w:p>
    <w:p w14:paraId="092719CE">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1. 供应商注册咨询：022-24538167</w:t>
      </w:r>
    </w:p>
    <w:p w14:paraId="34AB4B80">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2. CA证书和电子签章办理咨询：022-24538059</w:t>
      </w:r>
    </w:p>
    <w:p w14:paraId="097D3919">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3. 采购文件咨询：冯强、杨光，022-24538307</w:t>
      </w:r>
    </w:p>
    <w:p w14:paraId="58602395">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4. 网上应答及解密操作咨询：022-24538309</w:t>
      </w:r>
    </w:p>
    <w:p w14:paraId="4E9F350F">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一</w:t>
      </w:r>
      <w:r>
        <w:rPr>
          <w:rFonts w:ascii="Times New Roman" w:hAnsi="Times New Roman" w:eastAsia="宋体" w:cs="Times New Roman"/>
          <w:color w:val="auto"/>
        </w:rPr>
        <w:t>、采购人的名称、地址和联系方式</w:t>
      </w:r>
    </w:p>
    <w:p w14:paraId="74D77CF0">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 xml:space="preserve">（一）采购人名称： </w:t>
      </w:r>
      <w:r>
        <w:rPr>
          <w:rFonts w:hint="eastAsia" w:ascii="Times New Roman" w:hAnsi="Times New Roman" w:eastAsia="宋体" w:cs="Times New Roman"/>
          <w:color w:val="auto"/>
        </w:rPr>
        <w:t>天津市第一医院</w:t>
      </w:r>
    </w:p>
    <w:p w14:paraId="21ED5CB8">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（二）采购人地址：</w:t>
      </w:r>
      <w:r>
        <w:rPr>
          <w:rFonts w:hint="eastAsia" w:ascii="Times New Roman" w:hAnsi="Times New Roman" w:eastAsia="宋体" w:cs="Times New Roman"/>
          <w:color w:val="auto"/>
        </w:rPr>
        <w:t>天津市河北区南口路186号</w:t>
      </w:r>
    </w:p>
    <w:p w14:paraId="3CEFCC4A">
      <w:pPr>
        <w:pStyle w:val="8"/>
        <w:spacing w:line="360" w:lineRule="auto"/>
        <w:ind w:firstLine="480" w:firstLineChars="200"/>
        <w:rPr>
          <w:rFonts w:ascii="Times New Roman" w:hAnsi="Times New Roman" w:eastAsia="宋体" w:cs="Times New Roman"/>
          <w:color w:val="auto"/>
        </w:rPr>
      </w:pPr>
      <w:r>
        <w:rPr>
          <w:rFonts w:ascii="Times New Roman" w:hAnsi="Times New Roman" w:eastAsia="宋体" w:cs="Times New Roman"/>
          <w:color w:val="auto"/>
        </w:rPr>
        <w:t>（三）采购人联系人：</w:t>
      </w:r>
      <w:r>
        <w:rPr>
          <w:rFonts w:hint="eastAsia" w:ascii="Times New Roman" w:hAnsi="Times New Roman" w:eastAsia="宋体" w:cs="Times New Roman"/>
          <w:color w:val="auto"/>
        </w:rPr>
        <w:t>冯老师</w:t>
      </w:r>
    </w:p>
    <w:p w14:paraId="544F1ED2">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（四）采购人联系电话： 022-86662930</w:t>
      </w:r>
    </w:p>
    <w:p w14:paraId="5CCE3F71">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二</w:t>
      </w:r>
      <w:r>
        <w:rPr>
          <w:rFonts w:ascii="Times New Roman" w:hAnsi="Times New Roman" w:eastAsia="宋体" w:cs="Times New Roman"/>
          <w:color w:val="auto"/>
        </w:rPr>
        <w:t>、质疑方式</w:t>
      </w:r>
    </w:p>
    <w:p w14:paraId="0F7EF9A8">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（一）供应商认为采购文件、采购过程和采购结果使自己的权益受到损害的，可以在知道或者应知其权益受到损害之日起七个工作日内，按照本项目采购文件第三部分《投标须知》“8. 询问与质疑”的相关规定，以书面原件形式针对同一采购程序环节一次性提出质疑，否则不予受理。</w:t>
      </w:r>
    </w:p>
    <w:p w14:paraId="4A852F18">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采购人质疑受理：</w:t>
      </w:r>
    </w:p>
    <w:p w14:paraId="7681476D">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1. 联系部门：天津市第一医院</w:t>
      </w:r>
    </w:p>
    <w:p w14:paraId="26026C9A">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2. 联系地址：天津市河北区南口路186号</w:t>
      </w:r>
    </w:p>
    <w:p w14:paraId="1CAF82B9">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3. 联 系 人：冯老师</w:t>
      </w:r>
    </w:p>
    <w:p w14:paraId="4125A9B2">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4. 联系方式：022-</w:t>
      </w:r>
      <w:r>
        <w:rPr>
          <w:rFonts w:ascii="Times New Roman" w:hAnsi="Times New Roman" w:eastAsia="宋体" w:cs="Times New Roman"/>
          <w:color w:val="auto"/>
        </w:rPr>
        <w:t>86662930</w:t>
      </w:r>
    </w:p>
    <w:p w14:paraId="4555D8B8">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（二）供应商对质疑答复不满意的，或者采购人、天津市政府采购中心未在规定期限内作出答复的，供应商可以在质疑答复期满后15个工作日内，向采购人同级财政部门提出投诉，逾期不予受理。</w:t>
      </w:r>
    </w:p>
    <w:p w14:paraId="28B5966A">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三</w:t>
      </w:r>
      <w:r>
        <w:rPr>
          <w:rFonts w:ascii="Times New Roman" w:hAnsi="Times New Roman" w:eastAsia="宋体" w:cs="Times New Roman"/>
          <w:color w:val="auto"/>
        </w:rPr>
        <w:t>、公告期限</w:t>
      </w:r>
    </w:p>
    <w:p w14:paraId="443D0D0D">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招标公告的公告期限为5个工作日。</w:t>
      </w:r>
    </w:p>
    <w:p w14:paraId="589C506B">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十</w:t>
      </w:r>
      <w:r>
        <w:rPr>
          <w:rFonts w:hint="eastAsia" w:ascii="Times New Roman" w:hAnsi="Times New Roman" w:eastAsia="宋体" w:cs="Times New Roman"/>
          <w:color w:val="auto"/>
        </w:rPr>
        <w:t>四</w:t>
      </w:r>
      <w:r>
        <w:rPr>
          <w:rFonts w:ascii="Times New Roman" w:hAnsi="Times New Roman" w:eastAsia="宋体" w:cs="Times New Roman"/>
          <w:color w:val="auto"/>
        </w:rPr>
        <w:t>、招标代理服务费</w:t>
      </w:r>
    </w:p>
    <w:p w14:paraId="27B34501">
      <w:pPr>
        <w:pStyle w:val="8"/>
        <w:spacing w:line="360" w:lineRule="auto"/>
        <w:ind w:firstLine="480" w:firstLineChars="200"/>
        <w:jc w:val="both"/>
        <w:rPr>
          <w:rFonts w:ascii="Times New Roman" w:hAnsi="Times New Roman" w:eastAsia="宋体" w:cs="Times New Roman"/>
          <w:color w:val="auto"/>
        </w:rPr>
      </w:pPr>
      <w:r>
        <w:rPr>
          <w:rFonts w:ascii="Times New Roman" w:hAnsi="Times New Roman" w:eastAsia="宋体" w:cs="Times New Roman"/>
          <w:color w:val="auto"/>
        </w:rPr>
        <w:t>本项目按以下比例向中标供应商收取招标代理服务费</w:t>
      </w:r>
      <w:r>
        <w:rPr>
          <w:rFonts w:hint="eastAsia" w:ascii="Times New Roman" w:hAnsi="Times New Roman" w:eastAsia="宋体" w:cs="Times New Roman"/>
          <w:color w:val="auto"/>
        </w:rPr>
        <w:t>：</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656"/>
        <w:gridCol w:w="3657"/>
      </w:tblGrid>
      <w:tr w14:paraId="62E647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tblHeader/>
          <w:jc w:val="center"/>
        </w:trPr>
        <w:tc>
          <w:tcPr>
            <w:tcW w:w="3656" w:type="dxa"/>
            <w:vAlign w:val="center"/>
          </w:tcPr>
          <w:p w14:paraId="15C1FE61">
            <w:pPr>
              <w:tabs>
                <w:tab w:val="left" w:pos="750"/>
                <w:tab w:val="left" w:pos="840"/>
              </w:tabs>
              <w:adjustRightInd w:val="0"/>
              <w:snapToGrid w:val="0"/>
              <w:jc w:val="center"/>
              <w:rPr>
                <w:sz w:val="24"/>
              </w:rPr>
            </w:pPr>
            <w:r>
              <w:rPr>
                <w:sz w:val="24"/>
              </w:rPr>
              <w:t>中标金额</w:t>
            </w:r>
            <w:r>
              <w:rPr>
                <w:rFonts w:hint="eastAsia"/>
                <w:sz w:val="24"/>
              </w:rPr>
              <w:t>（万元）</w:t>
            </w:r>
          </w:p>
        </w:tc>
        <w:tc>
          <w:tcPr>
            <w:tcW w:w="3657" w:type="dxa"/>
            <w:vAlign w:val="center"/>
          </w:tcPr>
          <w:p w14:paraId="12BC2B45">
            <w:pPr>
              <w:tabs>
                <w:tab w:val="left" w:pos="750"/>
                <w:tab w:val="left" w:pos="840"/>
              </w:tabs>
              <w:adjustRightInd w:val="0"/>
              <w:snapToGrid w:val="0"/>
              <w:jc w:val="center"/>
              <w:rPr>
                <w:sz w:val="24"/>
              </w:rPr>
            </w:pPr>
            <w:r>
              <w:rPr>
                <w:sz w:val="24"/>
              </w:rPr>
              <w:t>费率</w:t>
            </w:r>
          </w:p>
        </w:tc>
      </w:tr>
      <w:tr w14:paraId="252C2A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36A67A4A">
            <w:pPr>
              <w:tabs>
                <w:tab w:val="left" w:pos="750"/>
                <w:tab w:val="left" w:pos="840"/>
              </w:tabs>
              <w:adjustRightInd w:val="0"/>
              <w:snapToGrid w:val="0"/>
              <w:jc w:val="center"/>
              <w:rPr>
                <w:sz w:val="24"/>
              </w:rPr>
            </w:pPr>
            <w:r>
              <w:rPr>
                <w:sz w:val="24"/>
              </w:rPr>
              <w:t>100以下</w:t>
            </w:r>
          </w:p>
        </w:tc>
        <w:tc>
          <w:tcPr>
            <w:tcW w:w="3657" w:type="dxa"/>
            <w:vAlign w:val="center"/>
          </w:tcPr>
          <w:p w14:paraId="1B307385">
            <w:pPr>
              <w:tabs>
                <w:tab w:val="left" w:pos="750"/>
                <w:tab w:val="left" w:pos="840"/>
              </w:tabs>
              <w:adjustRightInd w:val="0"/>
              <w:snapToGrid w:val="0"/>
              <w:jc w:val="center"/>
              <w:rPr>
                <w:sz w:val="24"/>
              </w:rPr>
            </w:pPr>
            <w:r>
              <w:rPr>
                <w:sz w:val="24"/>
              </w:rPr>
              <w:t>1.</w:t>
            </w:r>
            <w:r>
              <w:rPr>
                <w:rFonts w:hint="eastAsia"/>
                <w:sz w:val="24"/>
              </w:rPr>
              <w:t>0</w:t>
            </w:r>
            <w:r>
              <w:rPr>
                <w:sz w:val="24"/>
              </w:rPr>
              <w:t>%</w:t>
            </w:r>
          </w:p>
        </w:tc>
      </w:tr>
      <w:tr w14:paraId="5A4D7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0F8416A1">
            <w:pPr>
              <w:tabs>
                <w:tab w:val="left" w:pos="750"/>
                <w:tab w:val="left" w:pos="840"/>
              </w:tabs>
              <w:adjustRightInd w:val="0"/>
              <w:snapToGrid w:val="0"/>
              <w:jc w:val="center"/>
              <w:rPr>
                <w:sz w:val="24"/>
              </w:rPr>
            </w:pPr>
            <w:r>
              <w:rPr>
                <w:sz w:val="24"/>
              </w:rPr>
              <w:t>100-500</w:t>
            </w:r>
          </w:p>
        </w:tc>
        <w:tc>
          <w:tcPr>
            <w:tcW w:w="3657" w:type="dxa"/>
            <w:vAlign w:val="center"/>
          </w:tcPr>
          <w:p w14:paraId="729D8CAA">
            <w:pPr>
              <w:tabs>
                <w:tab w:val="left" w:pos="750"/>
                <w:tab w:val="left" w:pos="840"/>
              </w:tabs>
              <w:adjustRightInd w:val="0"/>
              <w:snapToGrid w:val="0"/>
              <w:jc w:val="center"/>
              <w:rPr>
                <w:sz w:val="24"/>
              </w:rPr>
            </w:pPr>
            <w:r>
              <w:rPr>
                <w:rFonts w:hint="eastAsia"/>
                <w:sz w:val="24"/>
              </w:rPr>
              <w:t>0</w:t>
            </w:r>
            <w:r>
              <w:rPr>
                <w:sz w:val="24"/>
              </w:rPr>
              <w:t>.</w:t>
            </w:r>
            <w:r>
              <w:rPr>
                <w:rFonts w:hint="eastAsia"/>
                <w:sz w:val="24"/>
              </w:rPr>
              <w:t>8</w:t>
            </w:r>
            <w:r>
              <w:rPr>
                <w:sz w:val="24"/>
              </w:rPr>
              <w:t>%</w:t>
            </w:r>
          </w:p>
        </w:tc>
      </w:tr>
      <w:tr w14:paraId="2B1B7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10EC8E6C">
            <w:pPr>
              <w:tabs>
                <w:tab w:val="left" w:pos="750"/>
                <w:tab w:val="left" w:pos="840"/>
              </w:tabs>
              <w:adjustRightInd w:val="0"/>
              <w:snapToGrid w:val="0"/>
              <w:jc w:val="center"/>
              <w:rPr>
                <w:sz w:val="24"/>
              </w:rPr>
            </w:pPr>
            <w:r>
              <w:rPr>
                <w:sz w:val="24"/>
              </w:rPr>
              <w:t>500-1000</w:t>
            </w:r>
          </w:p>
        </w:tc>
        <w:tc>
          <w:tcPr>
            <w:tcW w:w="3657" w:type="dxa"/>
            <w:vAlign w:val="center"/>
          </w:tcPr>
          <w:p w14:paraId="650CAED4">
            <w:pPr>
              <w:tabs>
                <w:tab w:val="left" w:pos="750"/>
                <w:tab w:val="left" w:pos="840"/>
              </w:tabs>
              <w:adjustRightInd w:val="0"/>
              <w:snapToGrid w:val="0"/>
              <w:jc w:val="center"/>
              <w:rPr>
                <w:sz w:val="24"/>
              </w:rPr>
            </w:pPr>
            <w:r>
              <w:rPr>
                <w:sz w:val="24"/>
              </w:rPr>
              <w:t>0.</w:t>
            </w:r>
            <w:r>
              <w:rPr>
                <w:rFonts w:hint="eastAsia"/>
                <w:sz w:val="24"/>
              </w:rPr>
              <w:t>65</w:t>
            </w:r>
            <w:r>
              <w:rPr>
                <w:sz w:val="24"/>
              </w:rPr>
              <w:t>%</w:t>
            </w:r>
          </w:p>
        </w:tc>
      </w:tr>
      <w:tr w14:paraId="10EF03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693445E9">
            <w:pPr>
              <w:tabs>
                <w:tab w:val="left" w:pos="750"/>
                <w:tab w:val="left" w:pos="840"/>
              </w:tabs>
              <w:adjustRightInd w:val="0"/>
              <w:snapToGrid w:val="0"/>
              <w:jc w:val="center"/>
              <w:rPr>
                <w:sz w:val="24"/>
              </w:rPr>
            </w:pPr>
            <w:r>
              <w:rPr>
                <w:sz w:val="24"/>
              </w:rPr>
              <w:t>1000</w:t>
            </w:r>
            <w:r>
              <w:rPr>
                <w:rFonts w:hint="eastAsia"/>
                <w:sz w:val="24"/>
              </w:rPr>
              <w:t>-5000</w:t>
            </w:r>
          </w:p>
        </w:tc>
        <w:tc>
          <w:tcPr>
            <w:tcW w:w="3657" w:type="dxa"/>
            <w:vAlign w:val="center"/>
          </w:tcPr>
          <w:p w14:paraId="4591FA14">
            <w:pPr>
              <w:tabs>
                <w:tab w:val="left" w:pos="750"/>
                <w:tab w:val="left" w:pos="840"/>
              </w:tabs>
              <w:adjustRightInd w:val="0"/>
              <w:snapToGrid w:val="0"/>
              <w:jc w:val="center"/>
              <w:rPr>
                <w:sz w:val="24"/>
              </w:rPr>
            </w:pPr>
            <w:r>
              <w:rPr>
                <w:sz w:val="24"/>
              </w:rPr>
              <w:t>0.5%</w:t>
            </w:r>
          </w:p>
        </w:tc>
      </w:tr>
      <w:tr w14:paraId="073940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70BF12C6">
            <w:pPr>
              <w:tabs>
                <w:tab w:val="left" w:pos="750"/>
                <w:tab w:val="left" w:pos="840"/>
              </w:tabs>
              <w:adjustRightInd w:val="0"/>
              <w:snapToGrid w:val="0"/>
              <w:jc w:val="center"/>
              <w:rPr>
                <w:sz w:val="24"/>
              </w:rPr>
            </w:pPr>
            <w:r>
              <w:rPr>
                <w:rFonts w:hint="eastAsia"/>
                <w:sz w:val="24"/>
              </w:rPr>
              <w:t>5000-10000</w:t>
            </w:r>
          </w:p>
        </w:tc>
        <w:tc>
          <w:tcPr>
            <w:tcW w:w="3657" w:type="dxa"/>
            <w:vAlign w:val="center"/>
          </w:tcPr>
          <w:p w14:paraId="594CE5A1">
            <w:pPr>
              <w:tabs>
                <w:tab w:val="left" w:pos="750"/>
                <w:tab w:val="left" w:pos="840"/>
              </w:tabs>
              <w:adjustRightInd w:val="0"/>
              <w:snapToGrid w:val="0"/>
              <w:jc w:val="center"/>
              <w:rPr>
                <w:sz w:val="24"/>
              </w:rPr>
            </w:pPr>
            <w:r>
              <w:rPr>
                <w:sz w:val="24"/>
              </w:rPr>
              <w:t>0.25%</w:t>
            </w:r>
          </w:p>
        </w:tc>
      </w:tr>
      <w:tr w14:paraId="6EA312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0" w:hRule="atLeast"/>
          <w:jc w:val="center"/>
        </w:trPr>
        <w:tc>
          <w:tcPr>
            <w:tcW w:w="3656" w:type="dxa"/>
            <w:vAlign w:val="center"/>
          </w:tcPr>
          <w:p w14:paraId="30CD5003">
            <w:pPr>
              <w:tabs>
                <w:tab w:val="left" w:pos="750"/>
                <w:tab w:val="left" w:pos="840"/>
              </w:tabs>
              <w:adjustRightInd w:val="0"/>
              <w:snapToGrid w:val="0"/>
              <w:jc w:val="center"/>
              <w:rPr>
                <w:sz w:val="24"/>
              </w:rPr>
            </w:pPr>
            <w:r>
              <w:rPr>
                <w:rFonts w:hint="eastAsia"/>
                <w:sz w:val="24"/>
              </w:rPr>
              <w:t>10000-100000</w:t>
            </w:r>
          </w:p>
        </w:tc>
        <w:tc>
          <w:tcPr>
            <w:tcW w:w="3657" w:type="dxa"/>
            <w:vAlign w:val="center"/>
          </w:tcPr>
          <w:p w14:paraId="4C74321F">
            <w:pPr>
              <w:tabs>
                <w:tab w:val="left" w:pos="750"/>
                <w:tab w:val="left" w:pos="840"/>
              </w:tabs>
              <w:adjustRightInd w:val="0"/>
              <w:snapToGrid w:val="0"/>
              <w:jc w:val="center"/>
              <w:rPr>
                <w:sz w:val="24"/>
              </w:rPr>
            </w:pPr>
            <w:r>
              <w:rPr>
                <w:sz w:val="24"/>
              </w:rPr>
              <w:t>0.05%</w:t>
            </w:r>
          </w:p>
        </w:tc>
      </w:tr>
    </w:tbl>
    <w:p w14:paraId="2F72DF39">
      <w:pPr>
        <w:tabs>
          <w:tab w:val="left" w:pos="700"/>
        </w:tabs>
        <w:autoSpaceDE w:val="0"/>
        <w:autoSpaceDN w:val="0"/>
        <w:adjustRightInd w:val="0"/>
        <w:spacing w:line="360" w:lineRule="auto"/>
        <w:ind w:firstLine="480" w:firstLineChars="200"/>
        <w:rPr>
          <w:sz w:val="24"/>
          <w:lang w:val="zh-CN"/>
        </w:rPr>
      </w:pPr>
      <w:r>
        <w:rPr>
          <w:sz w:val="24"/>
          <w:lang w:val="zh-CN"/>
        </w:rPr>
        <w:t>服务费按差额定率累进法计算</w:t>
      </w:r>
      <w:r>
        <w:rPr>
          <w:rFonts w:hint="eastAsia"/>
          <w:sz w:val="24"/>
          <w:lang w:val="zh-CN"/>
        </w:rPr>
        <w:t>，向下取整，精确到元。</w:t>
      </w:r>
      <w:r>
        <w:rPr>
          <w:sz w:val="24"/>
          <w:lang w:val="zh-CN"/>
        </w:rPr>
        <w:t>例如</w:t>
      </w:r>
      <w:r>
        <w:rPr>
          <w:sz w:val="24"/>
        </w:rPr>
        <w:t>中标</w:t>
      </w:r>
      <w:r>
        <w:rPr>
          <w:sz w:val="24"/>
          <w:lang w:val="zh-CN"/>
        </w:rPr>
        <w:t>金额为680</w:t>
      </w:r>
      <w:r>
        <w:rPr>
          <w:rFonts w:hint="eastAsia"/>
          <w:sz w:val="24"/>
          <w:lang w:val="zh-CN"/>
        </w:rPr>
        <w:t>5000</w:t>
      </w:r>
      <w:r>
        <w:rPr>
          <w:sz w:val="24"/>
          <w:lang w:val="zh-CN"/>
        </w:rPr>
        <w:t>元，服务费</w:t>
      </w:r>
      <w:r>
        <w:rPr>
          <w:rFonts w:hint="eastAsia"/>
          <w:sz w:val="24"/>
          <w:lang w:val="zh-CN"/>
        </w:rPr>
        <w:t>=</w:t>
      </w:r>
      <w:r>
        <w:rPr>
          <w:sz w:val="24"/>
          <w:lang w:val="zh-CN"/>
        </w:rPr>
        <w:t>100</w:t>
      </w:r>
      <w:r>
        <w:rPr>
          <w:rFonts w:hint="eastAsia"/>
          <w:sz w:val="24"/>
          <w:lang w:val="zh-CN"/>
        </w:rPr>
        <w:t>0000</w:t>
      </w:r>
      <w:r>
        <w:rPr>
          <w:sz w:val="24"/>
          <w:lang w:val="zh-CN"/>
        </w:rPr>
        <w:t>×1%+</w:t>
      </w:r>
      <w:r>
        <w:rPr>
          <w:rFonts w:hint="eastAsia"/>
          <w:sz w:val="24"/>
          <w:lang w:val="zh-CN"/>
        </w:rPr>
        <w:t>（</w:t>
      </w:r>
      <w:r>
        <w:rPr>
          <w:sz w:val="24"/>
          <w:lang w:val="zh-CN"/>
        </w:rPr>
        <w:t>500</w:t>
      </w:r>
      <w:r>
        <w:rPr>
          <w:rFonts w:hint="eastAsia"/>
          <w:sz w:val="24"/>
          <w:lang w:val="zh-CN"/>
        </w:rPr>
        <w:t>0000</w:t>
      </w:r>
      <w:r>
        <w:rPr>
          <w:sz w:val="24"/>
          <w:lang w:val="zh-CN"/>
        </w:rPr>
        <w:t>-100</w:t>
      </w:r>
      <w:r>
        <w:rPr>
          <w:rFonts w:hint="eastAsia"/>
          <w:sz w:val="24"/>
          <w:lang w:val="zh-CN"/>
        </w:rPr>
        <w:t>0000）</w:t>
      </w:r>
      <w:r>
        <w:rPr>
          <w:sz w:val="24"/>
          <w:lang w:val="zh-CN"/>
        </w:rPr>
        <w:t>×</w:t>
      </w:r>
      <w:r>
        <w:rPr>
          <w:rFonts w:hint="eastAsia"/>
          <w:sz w:val="24"/>
          <w:lang w:val="zh-CN"/>
        </w:rPr>
        <w:t>0.8</w:t>
      </w:r>
      <w:r>
        <w:rPr>
          <w:sz w:val="24"/>
          <w:lang w:val="zh-CN"/>
        </w:rPr>
        <w:t>%+</w:t>
      </w:r>
      <w:r>
        <w:rPr>
          <w:rFonts w:hint="eastAsia"/>
          <w:sz w:val="24"/>
          <w:lang w:val="zh-CN"/>
        </w:rPr>
        <w:t>（</w:t>
      </w:r>
      <w:r>
        <w:rPr>
          <w:sz w:val="24"/>
          <w:lang w:val="zh-CN"/>
        </w:rPr>
        <w:t>680</w:t>
      </w:r>
      <w:r>
        <w:rPr>
          <w:rFonts w:hint="eastAsia"/>
          <w:sz w:val="24"/>
          <w:lang w:val="zh-CN"/>
        </w:rPr>
        <w:t>5000</w:t>
      </w:r>
      <w:r>
        <w:rPr>
          <w:sz w:val="24"/>
          <w:lang w:val="zh-CN"/>
        </w:rPr>
        <w:t>-500</w:t>
      </w:r>
      <w:r>
        <w:rPr>
          <w:rFonts w:hint="eastAsia"/>
          <w:sz w:val="24"/>
          <w:lang w:val="zh-CN"/>
        </w:rPr>
        <w:t>0000）</w:t>
      </w:r>
      <w:r>
        <w:rPr>
          <w:sz w:val="24"/>
          <w:lang w:val="zh-CN"/>
        </w:rPr>
        <w:t>×0.</w:t>
      </w:r>
      <w:r>
        <w:rPr>
          <w:rFonts w:hint="eastAsia"/>
          <w:sz w:val="24"/>
          <w:lang w:val="zh-CN"/>
        </w:rPr>
        <w:t>65</w:t>
      </w:r>
      <w:r>
        <w:rPr>
          <w:sz w:val="24"/>
          <w:lang w:val="zh-CN"/>
        </w:rPr>
        <w:t>%=</w:t>
      </w:r>
      <w:r>
        <w:rPr>
          <w:rFonts w:hint="eastAsia"/>
          <w:sz w:val="24"/>
          <w:lang w:val="zh-CN"/>
        </w:rPr>
        <w:t>53732.5</w:t>
      </w:r>
      <w:r>
        <w:rPr>
          <w:sz w:val="24"/>
          <w:lang w:val="zh-CN"/>
        </w:rPr>
        <w:t>元，服务费</w:t>
      </w:r>
      <w:r>
        <w:rPr>
          <w:rFonts w:hint="eastAsia"/>
          <w:sz w:val="24"/>
          <w:lang w:val="zh-CN"/>
        </w:rPr>
        <w:t>缴纳53732元。</w:t>
      </w:r>
      <w:r>
        <w:rPr>
          <w:sz w:val="24"/>
          <w:lang w:val="zh-CN"/>
        </w:rPr>
        <w:t>其中中标金额以《中标通知书》为准。</w:t>
      </w:r>
    </w:p>
    <w:p w14:paraId="60CDA0F5">
      <w:pPr>
        <w:tabs>
          <w:tab w:val="left" w:pos="700"/>
        </w:tabs>
        <w:autoSpaceDE w:val="0"/>
        <w:autoSpaceDN w:val="0"/>
        <w:adjustRightInd w:val="0"/>
        <w:spacing w:line="360" w:lineRule="auto"/>
        <w:ind w:firstLine="480" w:firstLineChars="200"/>
        <w:rPr>
          <w:sz w:val="24"/>
          <w:szCs w:val="24"/>
          <w:lang w:val="zh-CN"/>
        </w:rPr>
      </w:pPr>
      <w:r>
        <w:rPr>
          <w:rFonts w:hint="eastAsia"/>
          <w:sz w:val="24"/>
          <w:szCs w:val="24"/>
        </w:rPr>
        <w:t>中标供应商应于中标公告发布之日起5个工作日内缴纳</w:t>
      </w:r>
      <w:r>
        <w:rPr>
          <w:rFonts w:hint="eastAsia"/>
          <w:sz w:val="24"/>
          <w:szCs w:val="24"/>
          <w:lang w:val="zh-CN"/>
        </w:rPr>
        <w:t>招标代理服务费，缴费单位名称须与投标单位名称一致，缴费时请注明项目编号及中标包号。</w:t>
      </w:r>
    </w:p>
    <w:p w14:paraId="758EF0FA">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名        称：天津市公共资源交易中心</w:t>
      </w:r>
    </w:p>
    <w:p w14:paraId="3EC030EB">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 xml:space="preserve">开户行及账号：中国建设银行股份有限公司天津明华支行 </w:t>
      </w:r>
    </w:p>
    <w:p w14:paraId="1E3C1197">
      <w:pPr>
        <w:pStyle w:val="8"/>
        <w:spacing w:line="360" w:lineRule="auto"/>
        <w:ind w:firstLine="2152" w:firstLineChars="897"/>
        <w:rPr>
          <w:rFonts w:ascii="Times New Roman" w:hAnsi="Times New Roman" w:eastAsia="宋体" w:cs="Times New Roman"/>
          <w:color w:val="auto"/>
        </w:rPr>
      </w:pPr>
      <w:r>
        <w:rPr>
          <w:rFonts w:ascii="Times New Roman" w:hAnsi="Times New Roman" w:eastAsia="宋体" w:cs="Times New Roman"/>
          <w:color w:val="auto"/>
        </w:rPr>
        <w:t>1205 0162 4900 0000 0675</w:t>
      </w:r>
    </w:p>
    <w:p w14:paraId="50BA7FA9">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银行联行号：105110039436</w:t>
      </w:r>
    </w:p>
    <w:p w14:paraId="6C8F4A3C">
      <w:pPr>
        <w:pStyle w:val="8"/>
        <w:spacing w:line="360" w:lineRule="auto"/>
        <w:ind w:firstLine="480" w:firstLineChars="200"/>
        <w:rPr>
          <w:rFonts w:ascii="Times New Roman" w:hAnsi="Times New Roman" w:eastAsia="宋体" w:cs="Times New Roman"/>
          <w:color w:val="auto"/>
        </w:rPr>
      </w:pPr>
      <w:r>
        <w:rPr>
          <w:rFonts w:hint="eastAsia" w:ascii="Times New Roman" w:hAnsi="Times New Roman" w:eastAsia="宋体" w:cs="Times New Roman"/>
          <w:color w:val="auto"/>
        </w:rPr>
        <w:t>纳税人识别号：1212 0000 MB1E 44809C</w:t>
      </w:r>
    </w:p>
    <w:p w14:paraId="3C9DD752">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地址：天津市河东区红星路79号</w:t>
      </w:r>
    </w:p>
    <w:p w14:paraId="3C26D599">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缴费及申请开票系统：http://pay.tjggzy.cn/</w:t>
      </w:r>
    </w:p>
    <w:p w14:paraId="212F8D45">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缴费及开票咨询电话：022-24532012</w:t>
      </w:r>
    </w:p>
    <w:p w14:paraId="601B6616">
      <w:pPr>
        <w:pStyle w:val="8"/>
        <w:spacing w:line="360" w:lineRule="auto"/>
        <w:ind w:firstLine="480" w:firstLineChars="200"/>
        <w:jc w:val="both"/>
        <w:rPr>
          <w:rFonts w:ascii="Times New Roman" w:hAnsi="Times New Roman" w:eastAsia="宋体" w:cs="Times New Roman"/>
          <w:color w:val="auto"/>
        </w:rPr>
      </w:pPr>
      <w:r>
        <w:rPr>
          <w:rFonts w:hint="eastAsia" w:ascii="Times New Roman" w:hAnsi="Times New Roman" w:eastAsia="宋体" w:cs="Times New Roman"/>
          <w:color w:val="auto"/>
        </w:rPr>
        <w:t>十五、《</w:t>
      </w:r>
      <w:r>
        <w:rPr>
          <w:rFonts w:ascii="Times New Roman" w:hAnsi="Times New Roman" w:eastAsia="宋体" w:cs="Times New Roman"/>
          <w:color w:val="auto"/>
        </w:rPr>
        <w:t>“政采贷”业务提示函</w:t>
      </w:r>
      <w:r>
        <w:rPr>
          <w:rFonts w:hint="eastAsia" w:ascii="Times New Roman" w:hAnsi="Times New Roman" w:eastAsia="宋体" w:cs="Times New Roman"/>
          <w:color w:val="auto"/>
        </w:rPr>
        <w:t>》、《</w:t>
      </w:r>
      <w:r>
        <w:rPr>
          <w:rFonts w:ascii="Times New Roman" w:hAnsi="Times New Roman" w:eastAsia="宋体" w:cs="Times New Roman"/>
          <w:color w:val="auto"/>
        </w:rPr>
        <w:t>政府采购支持中小企业政策提示函</w:t>
      </w:r>
      <w:r>
        <w:rPr>
          <w:rFonts w:hint="eastAsia" w:ascii="Times New Roman" w:hAnsi="Times New Roman" w:eastAsia="宋体" w:cs="Times New Roman"/>
          <w:color w:val="auto"/>
        </w:rPr>
        <w:t>》和《诚信参与政府采购活动提示函》</w:t>
      </w:r>
    </w:p>
    <w:p w14:paraId="1D03AFD9">
      <w:pPr>
        <w:pStyle w:val="8"/>
        <w:spacing w:line="360" w:lineRule="auto"/>
        <w:ind w:firstLine="480" w:firstLineChars="200"/>
        <w:jc w:val="both"/>
        <w:rPr>
          <w:rFonts w:ascii="Times New Roman" w:hAnsi="Times New Roman" w:eastAsia="宋体" w:cs="Times New Roman"/>
          <w:color w:val="auto"/>
        </w:rPr>
      </w:pPr>
    </w:p>
    <w:p w14:paraId="15EDD26C">
      <w:pPr>
        <w:pStyle w:val="8"/>
        <w:spacing w:line="360" w:lineRule="auto"/>
        <w:jc w:val="right"/>
        <w:rPr>
          <w:rFonts w:ascii="仿宋_GB2312" w:hAnsi="仿宋" w:eastAsia="仿宋_GB2312"/>
          <w:b/>
          <w:color w:val="auto"/>
          <w:sz w:val="32"/>
          <w:szCs w:val="32"/>
        </w:rPr>
      </w:pPr>
      <w:r>
        <w:rPr>
          <w:rFonts w:ascii="Times New Roman" w:hAnsi="Times New Roman" w:eastAsia="宋体" w:cs="Times New Roman"/>
          <w:color w:val="auto"/>
        </w:rPr>
        <w:t>2025年</w:t>
      </w:r>
      <w:r>
        <w:rPr>
          <w:rFonts w:hint="eastAsia" w:ascii="Times New Roman" w:hAnsi="Times New Roman" w:eastAsia="宋体" w:cs="Times New Roman"/>
          <w:color w:val="auto"/>
        </w:rPr>
        <w:t>12</w:t>
      </w:r>
      <w:r>
        <w:rPr>
          <w:rFonts w:ascii="Times New Roman" w:hAnsi="Times New Roman" w:eastAsia="宋体" w:cs="Times New Roman"/>
          <w:color w:val="auto"/>
        </w:rPr>
        <w:t>月</w:t>
      </w:r>
      <w:r>
        <w:rPr>
          <w:rFonts w:hint="eastAsia" w:ascii="Times New Roman" w:hAnsi="Times New Roman" w:eastAsia="宋体" w:cs="Times New Roman"/>
          <w:color w:val="auto"/>
        </w:rPr>
        <w:t>26</w:t>
      </w:r>
      <w:r>
        <w:rPr>
          <w:rFonts w:ascii="Times New Roman" w:hAnsi="Times New Roman" w:eastAsia="宋体" w:cs="Times New Roman"/>
          <w:color w:val="auto"/>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汉仪书宋二KW">
    <w:panose1 w:val="00020600040101010101"/>
    <w:charset w:val="86"/>
    <w:family w:val="auto"/>
    <w:pitch w:val="default"/>
    <w:sig w:usb0="A00002BF" w:usb1="18EF7CFA" w:usb2="00000016" w:usb3="00000000" w:csb0="00040000" w:csb1="00000000"/>
  </w:font>
  <w:font w:name="Wingdings">
    <w:altName w:val="Kingsoft Confetti"/>
    <w:panose1 w:val="05000000000000000000"/>
    <w:charset w:val="02"/>
    <w:family w:val="auto"/>
    <w:pitch w:val="default"/>
    <w:sig w:usb0="00000000" w:usb1="00000000" w:usb2="00000000" w:usb3="00000000" w:csb0="80000000" w:csb1="00000000"/>
  </w:font>
  <w:font w:name="Kingsoft Confetti">
    <w:panose1 w:val="05000100010000000000"/>
    <w:charset w:val="00"/>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800002BF" w:usb1="38CF7CFA" w:usb2="00000016" w:usb3="00000000" w:csb0="00040001" w:csb1="00000000"/>
  </w:font>
  <w:font w:name="汉仪中黑KW">
    <w:panose1 w:val="00020600040101010101"/>
    <w:charset w:val="86"/>
    <w:family w:val="auto"/>
    <w:pitch w:val="default"/>
    <w:sig w:usb0="A00002BF" w:usb1="18EF7CFA" w:usb2="00000016" w:usb3="00000000" w:csb0="00040000"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Kingsoft Sign">
    <w:panose1 w:val="05050102010706020507"/>
    <w:charset w:val="00"/>
    <w:family w:val="auto"/>
    <w:pitch w:val="default"/>
    <w:sig w:usb0="00000000" w:usb1="00000000" w:usb2="00000000" w:usb3="00000000" w:csb0="80000000" w:csb1="00000000"/>
  </w:font>
  <w:font w:name="Calibri">
    <w:altName w:val="Arial"/>
    <w:panose1 w:val="020F0502020204030204"/>
    <w:charset w:val="00"/>
    <w:family w:val="swiss"/>
    <w:pitch w:val="default"/>
    <w:sig w:usb0="00000000" w:usb1="00000000" w:usb2="00000001" w:usb3="00000000" w:csb0="0000019F" w:csb1="00000000"/>
  </w:font>
  <w:font w:name="Arial">
    <w:panose1 w:val="020B0604020202020204"/>
    <w:charset w:val="00"/>
    <w:family w:val="auto"/>
    <w:pitch w:val="default"/>
    <w:sig w:usb0="E0002AFF" w:usb1="C0007843" w:usb2="00000009" w:usb3="00000000" w:csb0="400001FF" w:csb1="FFFF0000"/>
  </w:font>
  <w:font w:name=".......">
    <w:altName w:val="汉仪中黑KW"/>
    <w:panose1 w:val="00000000000000000000"/>
    <w:charset w:val="86"/>
    <w:family w:val="auto"/>
    <w:pitch w:val="default"/>
    <w:sig w:usb0="00000000" w:usb1="00000000" w:usb2="00000010" w:usb3="00000000" w:csb0="00040000" w:csb1="00000000"/>
  </w:font>
  <w:font w:name="仿宋_GB2312">
    <w:altName w:val="汉仪仿宋KW"/>
    <w:panose1 w:val="02010609030101010101"/>
    <w:charset w:val="86"/>
    <w:family w:val="modern"/>
    <w:pitch w:val="default"/>
    <w:sig w:usb0="00000000" w:usb1="00000000" w:usb2="00000010" w:usb3="00000000" w:csb0="00040000" w:csb1="00000000"/>
  </w:font>
  <w:font w:name="汉仪仿宋KW">
    <w:panose1 w:val="00020600040101010101"/>
    <w:charset w:val="86"/>
    <w:family w:val="auto"/>
    <w:pitch w:val="default"/>
    <w:sig w:usb0="A00002BF" w:usb1="18EF7CFA" w:usb2="00000016" w:usb3="00000000" w:csb0="00040000" w:csb1="00000000"/>
  </w:font>
  <w:font w:name="仿宋">
    <w:altName w:val="汉仪仿宋KW"/>
    <w:panose1 w:val="02010609060101010101"/>
    <w:charset w:val="86"/>
    <w:family w:val="modern"/>
    <w:pitch w:val="default"/>
    <w:sig w:usb0="00000000" w:usb1="00000000"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2"/>
  </w:compat>
  <w:rsids>
    <w:rsidRoot w:val="00DD47F7"/>
    <w:rsid w:val="00014F21"/>
    <w:rsid w:val="00046C60"/>
    <w:rsid w:val="000C102F"/>
    <w:rsid w:val="000D3780"/>
    <w:rsid w:val="00113588"/>
    <w:rsid w:val="00121D6F"/>
    <w:rsid w:val="00134FA8"/>
    <w:rsid w:val="00152FB1"/>
    <w:rsid w:val="00155D19"/>
    <w:rsid w:val="00164F3B"/>
    <w:rsid w:val="001D5F56"/>
    <w:rsid w:val="001E3F07"/>
    <w:rsid w:val="002209A2"/>
    <w:rsid w:val="00266B7F"/>
    <w:rsid w:val="002863B9"/>
    <w:rsid w:val="002A58CA"/>
    <w:rsid w:val="002B160F"/>
    <w:rsid w:val="002C695C"/>
    <w:rsid w:val="002C7A68"/>
    <w:rsid w:val="002D5FD2"/>
    <w:rsid w:val="003048E7"/>
    <w:rsid w:val="003616C6"/>
    <w:rsid w:val="00385D8C"/>
    <w:rsid w:val="003A7DF8"/>
    <w:rsid w:val="003B6651"/>
    <w:rsid w:val="003B7F73"/>
    <w:rsid w:val="003C17F1"/>
    <w:rsid w:val="003F4543"/>
    <w:rsid w:val="0040742C"/>
    <w:rsid w:val="004B1CFD"/>
    <w:rsid w:val="004B35AF"/>
    <w:rsid w:val="004D4A05"/>
    <w:rsid w:val="004E70B8"/>
    <w:rsid w:val="0050046A"/>
    <w:rsid w:val="005656D7"/>
    <w:rsid w:val="005828A6"/>
    <w:rsid w:val="005C68B4"/>
    <w:rsid w:val="005D0FB7"/>
    <w:rsid w:val="005F2246"/>
    <w:rsid w:val="00607D92"/>
    <w:rsid w:val="00612650"/>
    <w:rsid w:val="0062754D"/>
    <w:rsid w:val="006B111D"/>
    <w:rsid w:val="00701362"/>
    <w:rsid w:val="00715AAE"/>
    <w:rsid w:val="007275E5"/>
    <w:rsid w:val="0074609C"/>
    <w:rsid w:val="00770AB3"/>
    <w:rsid w:val="00781491"/>
    <w:rsid w:val="007B442E"/>
    <w:rsid w:val="007C2E61"/>
    <w:rsid w:val="00802B3F"/>
    <w:rsid w:val="00833FC2"/>
    <w:rsid w:val="0087492A"/>
    <w:rsid w:val="0088044C"/>
    <w:rsid w:val="008936F0"/>
    <w:rsid w:val="008D00E5"/>
    <w:rsid w:val="008D50AB"/>
    <w:rsid w:val="008E46B5"/>
    <w:rsid w:val="00922004"/>
    <w:rsid w:val="00945207"/>
    <w:rsid w:val="00946DD0"/>
    <w:rsid w:val="00976F61"/>
    <w:rsid w:val="009A2662"/>
    <w:rsid w:val="009B5DEF"/>
    <w:rsid w:val="009B78AB"/>
    <w:rsid w:val="009D733E"/>
    <w:rsid w:val="00A168EA"/>
    <w:rsid w:val="00A612F8"/>
    <w:rsid w:val="00A631C5"/>
    <w:rsid w:val="00AB2B90"/>
    <w:rsid w:val="00AE21ED"/>
    <w:rsid w:val="00AF7C4D"/>
    <w:rsid w:val="00B03422"/>
    <w:rsid w:val="00B407AD"/>
    <w:rsid w:val="00B40AA4"/>
    <w:rsid w:val="00B44622"/>
    <w:rsid w:val="00B45256"/>
    <w:rsid w:val="00B77AD2"/>
    <w:rsid w:val="00BF7841"/>
    <w:rsid w:val="00C27E14"/>
    <w:rsid w:val="00C331BA"/>
    <w:rsid w:val="00C624E8"/>
    <w:rsid w:val="00C62542"/>
    <w:rsid w:val="00C72E27"/>
    <w:rsid w:val="00D131E1"/>
    <w:rsid w:val="00D2569F"/>
    <w:rsid w:val="00D47C9E"/>
    <w:rsid w:val="00D843E5"/>
    <w:rsid w:val="00DD47F7"/>
    <w:rsid w:val="00E01920"/>
    <w:rsid w:val="00E166A3"/>
    <w:rsid w:val="00E23074"/>
    <w:rsid w:val="00E26F35"/>
    <w:rsid w:val="00E65066"/>
    <w:rsid w:val="00E752A2"/>
    <w:rsid w:val="00E928CB"/>
    <w:rsid w:val="00EA53C1"/>
    <w:rsid w:val="00ED20D5"/>
    <w:rsid w:val="00ED4047"/>
    <w:rsid w:val="00F13CA3"/>
    <w:rsid w:val="00F5590A"/>
    <w:rsid w:val="00F7052E"/>
    <w:rsid w:val="00F74AA6"/>
    <w:rsid w:val="00F97D48"/>
    <w:rsid w:val="00FA150A"/>
    <w:rsid w:val="00FD419B"/>
    <w:rsid w:val="00FE4373"/>
    <w:rsid w:val="AFAF65E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Body Text Indent"/>
    <w:basedOn w:val="1"/>
    <w:link w:val="11"/>
    <w:uiPriority w:val="0"/>
    <w:pPr>
      <w:tabs>
        <w:tab w:val="left" w:pos="480"/>
      </w:tabs>
      <w:spacing w:line="560" w:lineRule="exact"/>
      <w:ind w:firstLine="480"/>
      <w:jc w:val="left"/>
    </w:pPr>
    <w:rPr>
      <w:rFonts w:ascii="宋体" w:hAnsi="宋体"/>
      <w:sz w:val="24"/>
      <w:szCs w:val="20"/>
    </w:rPr>
  </w:style>
  <w:style w:type="paragraph" w:styleId="3">
    <w:name w:val="footer"/>
    <w:basedOn w:val="1"/>
    <w:link w:val="10"/>
    <w:unhideWhenUsed/>
    <w:qFormat/>
    <w:uiPriority w:val="99"/>
    <w:pPr>
      <w:tabs>
        <w:tab w:val="center" w:pos="4153"/>
        <w:tab w:val="right" w:pos="8306"/>
      </w:tabs>
      <w:snapToGrid w:val="0"/>
      <w:jc w:val="left"/>
    </w:pPr>
    <w:rPr>
      <w:sz w:val="18"/>
      <w:szCs w:val="18"/>
    </w:rPr>
  </w:style>
  <w:style w:type="paragraph" w:styleId="4">
    <w:name w:val="header"/>
    <w:basedOn w:val="1"/>
    <w:link w:val="9"/>
    <w:unhideWhenUsed/>
    <w:qFormat/>
    <w:uiPriority w:val="99"/>
    <w:pPr>
      <w:pBdr>
        <w:bottom w:val="single" w:color="auto" w:sz="6" w:space="1"/>
      </w:pBdr>
      <w:tabs>
        <w:tab w:val="center" w:pos="4153"/>
        <w:tab w:val="right" w:pos="8306"/>
      </w:tabs>
      <w:snapToGrid w:val="0"/>
      <w:jc w:val="center"/>
    </w:pPr>
    <w:rPr>
      <w:sz w:val="18"/>
      <w:szCs w:val="18"/>
    </w:rPr>
  </w:style>
  <w:style w:type="character" w:styleId="7">
    <w:name w:val="Hyperlink"/>
    <w:basedOn w:val="6"/>
    <w:unhideWhenUsed/>
    <w:qFormat/>
    <w:uiPriority w:val="99"/>
    <w:rPr>
      <w:color w:val="0000FF" w:themeColor="hyperlink"/>
      <w:u w:val="single"/>
    </w:rPr>
  </w:style>
  <w:style w:type="paragraph" w:customStyle="1" w:styleId="8">
    <w:name w:val="Default"/>
    <w:link w:val="12"/>
    <w:qFormat/>
    <w:uiPriority w:val="0"/>
    <w:pPr>
      <w:widowControl w:val="0"/>
      <w:autoSpaceDE w:val="0"/>
      <w:autoSpaceDN w:val="0"/>
      <w:adjustRightInd w:val="0"/>
    </w:pPr>
    <w:rPr>
      <w:rFonts w:ascii="......." w:hAnsi="Calibri" w:eastAsia="......." w:cs="......."/>
      <w:color w:val="000000"/>
      <w:kern w:val="0"/>
      <w:sz w:val="24"/>
      <w:szCs w:val="24"/>
      <w:lang w:val="en-US" w:eastAsia="zh-CN" w:bidi="ar-SA"/>
    </w:rPr>
  </w:style>
  <w:style w:type="character" w:customStyle="1" w:styleId="9">
    <w:name w:val="页眉 Char"/>
    <w:basedOn w:val="6"/>
    <w:link w:val="4"/>
    <w:qFormat/>
    <w:uiPriority w:val="99"/>
    <w:rPr>
      <w:rFonts w:ascii="Calibri" w:hAnsi="Calibri" w:eastAsia="宋体" w:cs="Times New Roman"/>
      <w:sz w:val="18"/>
      <w:szCs w:val="18"/>
    </w:rPr>
  </w:style>
  <w:style w:type="character" w:customStyle="1" w:styleId="10">
    <w:name w:val="页脚 Char"/>
    <w:basedOn w:val="6"/>
    <w:link w:val="3"/>
    <w:qFormat/>
    <w:uiPriority w:val="99"/>
    <w:rPr>
      <w:rFonts w:ascii="Calibri" w:hAnsi="Calibri" w:eastAsia="宋体" w:cs="Times New Roman"/>
      <w:sz w:val="18"/>
      <w:szCs w:val="18"/>
    </w:rPr>
  </w:style>
  <w:style w:type="character" w:customStyle="1" w:styleId="11">
    <w:name w:val="正文文本缩进 Char"/>
    <w:basedOn w:val="6"/>
    <w:link w:val="2"/>
    <w:uiPriority w:val="0"/>
    <w:rPr>
      <w:rFonts w:ascii="宋体" w:hAnsi="宋体" w:eastAsia="宋体" w:cs="Times New Roman"/>
      <w:sz w:val="24"/>
      <w:szCs w:val="20"/>
    </w:rPr>
  </w:style>
  <w:style w:type="character" w:customStyle="1" w:styleId="12">
    <w:name w:val="Default Char"/>
    <w:link w:val="8"/>
    <w:qFormat/>
    <w:locked/>
    <w:uiPriority w:val="0"/>
    <w:rPr>
      <w:rFonts w:ascii="......." w:hAnsi="Calibri" w:eastAsia="......." w:cs="......."/>
      <w:color w:val="000000"/>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6</Pages>
  <Words>685</Words>
  <Characters>3905</Characters>
  <Lines>32</Lines>
  <Paragraphs>9</Paragraphs>
  <TotalTime>0</TotalTime>
  <ScaleCrop>false</ScaleCrop>
  <LinksUpToDate>false</LinksUpToDate>
  <CharactersWithSpaces>4581</CharactersWithSpaces>
  <Application>WPS Office WWO_wpscloud_20250116195353-13c312bd48</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2025-12-25T17:08:00Z</dcterms:created>
  <dc:creator>王永锋</dc:creator>
  <cp:lastModifiedBy>未定义</cp:lastModifiedBy>
  <dcterms:modified xsi:type="dcterms:W3CDTF">2025-12-25T17:09:19Z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2052-0.0.0.0</vt:lpwstr>
  </property>
  <property fmtid="{D5CDD505-2E9C-101B-9397-08002B2CF9AE}" pid="3" name="ICV">
    <vt:lpwstr>DC7664170DD4522C3FFF4C69375F4E05_43</vt:lpwstr>
  </property>
</Properties>
</file>